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522B7"/>
    <w:p w14:paraId="0FD76325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1C58A450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6D3C61BF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社区经费80%资金项目支出绩效评价</w:t>
      </w:r>
    </w:p>
    <w:p w14:paraId="6938490E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报告</w:t>
      </w:r>
    </w:p>
    <w:p w14:paraId="143172E4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0CEF600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6BC379D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3F5BDDAA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7FCD9706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F21AD27">
      <w:pPr>
        <w:pStyle w:val="2"/>
      </w:pPr>
    </w:p>
    <w:p w14:paraId="6661A77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8B153DB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2BA0A62D">
      <w:pPr>
        <w:pStyle w:val="2"/>
        <w:rPr>
          <w:rFonts w:eastAsia="仿宋_GB2312"/>
          <w:kern w:val="0"/>
          <w:sz w:val="30"/>
          <w:szCs w:val="30"/>
        </w:rPr>
      </w:pPr>
    </w:p>
    <w:p w14:paraId="125E2CF4"/>
    <w:p w14:paraId="010C4DF9"/>
    <w:p w14:paraId="09BD14C6">
      <w:pPr>
        <w:spacing w:line="700" w:lineRule="exac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</w:rPr>
        <w:t>社区经费80%</w:t>
      </w:r>
    </w:p>
    <w:p w14:paraId="6526CC57">
      <w:pPr>
        <w:spacing w:line="700" w:lineRule="exact"/>
        <w:rPr>
          <w:rFonts w:hint="eastAsia"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6"/>
          <w:szCs w:val="36"/>
        </w:rPr>
        <w:t>实施单位（公章）：</w:t>
      </w:r>
      <w:r>
        <w:rPr>
          <w:rFonts w:hint="eastAsia" w:eastAsia="仿宋_GB2312"/>
          <w:kern w:val="0"/>
          <w:sz w:val="32"/>
          <w:szCs w:val="32"/>
        </w:rPr>
        <w:t>乌鲁木齐市水磨沟区南湖北路街道</w:t>
      </w:r>
    </w:p>
    <w:p w14:paraId="7ADC006B">
      <w:pPr>
        <w:pStyle w:val="2"/>
        <w:rPr>
          <w:rFonts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  <w:t>主管部门</w:t>
      </w:r>
      <w:r>
        <w:rPr>
          <w:rFonts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  <w:t>（公章）：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  <w:t>乌鲁木齐市水磨沟区南湖北路街道</w:t>
      </w:r>
    </w:p>
    <w:p w14:paraId="5740DFA7">
      <w:pPr>
        <w:spacing w:line="700" w:lineRule="exact"/>
        <w:rPr>
          <w:rFonts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</w:pPr>
      <w:r>
        <w:rPr>
          <w:rFonts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  <w:t>项目负责人（签章）：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6"/>
          <w:szCs w:val="36"/>
          <w:lang w:val="en-US" w:eastAsia="zh-CN" w:bidi="ar-SA"/>
        </w:rPr>
        <w:t>各社区书记、主任</w:t>
      </w:r>
      <w:bookmarkStart w:id="5" w:name="_GoBack"/>
      <w:bookmarkEnd w:id="5"/>
    </w:p>
    <w:p w14:paraId="64BB797A">
      <w:pPr>
        <w:spacing w:line="700" w:lineRule="exac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</w:rPr>
        <w:t>4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</w:rPr>
        <w:t>18</w:t>
      </w:r>
      <w:r>
        <w:rPr>
          <w:rFonts w:eastAsia="仿宋_GB2312"/>
          <w:kern w:val="0"/>
          <w:sz w:val="36"/>
          <w:szCs w:val="36"/>
        </w:rPr>
        <w:t>日</w:t>
      </w:r>
    </w:p>
    <w:p w14:paraId="2A17E92B">
      <w:pPr>
        <w:spacing w:line="540" w:lineRule="exact"/>
        <w:rPr>
          <w:rStyle w:val="15"/>
          <w:rFonts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110A9FAD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05090F85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3A0133BC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1.项目背景</w:t>
      </w:r>
    </w:p>
    <w:p w14:paraId="1BC43712"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乌鲁木齐市社区工作经费管理使用办法（暂行）》（乌党组办字〔2012〕31号）、《乌鲁木齐市社区工作经费管理使用办法（暂行）》的补充通知（乌党组办字〔2015〕6号）规定，该经费主要用于支付社区基本运转（租赁费、水电费、办公用房取暖费、办公经费、维修护经费、社区服务车辆运行经费、服务群众经费、活动费）等工作经费，保障社区为辖区居民提供服务。通过严格把控该资金使用及时上报资金的使用情况、保障项目资金按计划执行；该资金的使用提高了社区服务能力，从而更好的开展各类服务群众工作，提高基层党组织的服务质量，维护辖区和谐稳定良好局面。</w:t>
      </w:r>
    </w:p>
    <w:p w14:paraId="1C52B363">
      <w:pPr>
        <w:pStyle w:val="20"/>
        <w:spacing w:line="560" w:lineRule="exact"/>
        <w:ind w:firstLine="64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2.项目主要内容及实施情况</w:t>
      </w:r>
    </w:p>
    <w:p w14:paraId="408DB4A8"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项目主要内容：项目系2024年本级资金，共安排预算504万元，全年预算数504万元，全年执行232.08万元，执行率46%。</w:t>
      </w:r>
    </w:p>
    <w:p w14:paraId="23550369">
      <w:pPr>
        <w:pStyle w:val="4"/>
        <w:ind w:firstLine="640" w:firstLineChars="200"/>
        <w:rPr>
          <w:rFonts w:ascii="方正仿宋_GBK" w:eastAsia="方正仿宋_GBK"/>
          <w:b w:val="0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资金使用方向：一是保障社区</w:t>
      </w:r>
      <w:r>
        <w:rPr>
          <w:rFonts w:hint="eastAsia" w:ascii="方正仿宋_GBK" w:eastAsia="方正仿宋_GBK"/>
          <w:b w:val="0"/>
          <w:bCs/>
          <w:sz w:val="32"/>
          <w:szCs w:val="32"/>
        </w:rPr>
        <w:t>日常运行，安排</w:t>
      </w:r>
      <w:r>
        <w:rPr>
          <w:rFonts w:hint="eastAsia" w:ascii="方正仿宋_GBK" w:hAnsi="Calibri" w:eastAsia="方正仿宋_GBK" w:cs="Calibri"/>
          <w:b w:val="0"/>
          <w:bCs/>
          <w:sz w:val="32"/>
          <w:szCs w:val="32"/>
        </w:rPr>
        <w:t>100.04</w:t>
      </w:r>
      <w:r>
        <w:rPr>
          <w:rFonts w:hint="eastAsia" w:ascii="方正仿宋_GBK" w:eastAsia="方正仿宋_GBK"/>
          <w:b w:val="0"/>
          <w:bCs/>
          <w:sz w:val="32"/>
          <w:szCs w:val="32"/>
        </w:rPr>
        <w:t>万元用于12个社区日常公用经费支出，确保社区基础服务正常开展；</w:t>
      </w:r>
      <w:r>
        <w:rPr>
          <w:rFonts w:hint="eastAsia" w:ascii="方正仿宋_GBK" w:hAnsi="微软雅黑" w:eastAsia="方正仿宋_GBK" w:cs="微软雅黑"/>
          <w:b w:val="0"/>
          <w:bCs/>
          <w:sz w:val="32"/>
          <w:szCs w:val="32"/>
        </w:rPr>
        <w:t>二</w:t>
      </w:r>
      <w:r>
        <w:rPr>
          <w:rFonts w:hint="eastAsia" w:ascii="方正仿宋_GBK" w:eastAsia="方正仿宋_GBK"/>
          <w:b w:val="0"/>
          <w:bCs/>
          <w:sz w:val="32"/>
          <w:szCs w:val="32"/>
        </w:rPr>
        <w:t>是化解各类以前年度债务，共计14</w:t>
      </w:r>
      <w:r>
        <w:rPr>
          <w:rFonts w:hint="eastAsia" w:ascii="方正仿宋_GBK" w:hAnsi="Calibri" w:eastAsia="方正仿宋_GBK" w:cs="Calibri"/>
          <w:b w:val="0"/>
          <w:bCs/>
          <w:sz w:val="32"/>
          <w:szCs w:val="32"/>
        </w:rPr>
        <w:t>8.16</w:t>
      </w:r>
      <w:r>
        <w:rPr>
          <w:rFonts w:hint="eastAsia" w:ascii="方正仿宋_GBK" w:eastAsia="方正仿宋_GBK"/>
          <w:b w:val="0"/>
          <w:bCs/>
          <w:sz w:val="32"/>
          <w:szCs w:val="32"/>
        </w:rPr>
        <w:t>万元用于解决社区历年欠款，提升政府公信度。</w:t>
      </w:r>
    </w:p>
    <w:p w14:paraId="4317349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1B91D599">
      <w:pPr>
        <w:pStyle w:val="20"/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3.资金投入和使用情况</w:t>
      </w:r>
    </w:p>
    <w:p w14:paraId="6336588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（1）资金投入情况</w:t>
      </w:r>
    </w:p>
    <w:p w14:paraId="5611DEC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该项目年初预算数504万元，全年预算数504万元，实际总投入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232.08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万元，该项目资金已全部落实到位，资金来源为资金来源为财政拨款。</w:t>
      </w:r>
    </w:p>
    <w:p w14:paraId="37C80EF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（2）资金使用情况</w:t>
      </w:r>
    </w:p>
    <w:p w14:paraId="74412DC2">
      <w:pPr>
        <w:spacing w:line="600" w:lineRule="exact"/>
        <w:ind w:firstLine="640" w:firstLineChars="200"/>
        <w:outlineLvl w:val="0"/>
        <w:rPr>
          <w:rFonts w:hint="eastAsia" w:ascii="方正仿宋_GBK" w:hAnsi="仿宋_GB2312" w:eastAsia="方正仿宋_GBK" w:cs="仿宋_GB2312"/>
          <w:sz w:val="32"/>
          <w:szCs w:val="32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该项目年初预算数504万元，全年预算数504万元，全年执行数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232.08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万元，预算执行率为46%，主要用于：12个社区的日常运转，资金具体使用集中在三个方面：一是社区日常公用经费支出，保障社区的基础运营；</w:t>
      </w:r>
      <w:r>
        <w:rPr>
          <w:rFonts w:hint="eastAsia" w:ascii="方正仿宋_GBK" w:hAnsi="微软雅黑" w:eastAsia="方正仿宋_GBK" w:cs="微软雅黑"/>
          <w:sz w:val="32"/>
          <w:szCs w:val="32"/>
        </w:rPr>
        <w:t>二是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社区化解历史欠款，优化社区财务状况。</w:t>
      </w:r>
    </w:p>
    <w:p w14:paraId="70E88EE6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3CFE1BCF"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1.总体目标</w:t>
      </w:r>
    </w:p>
    <w:p w14:paraId="265D79D6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该项目主要保障辖区12个社区日常运转，预算经费504万元，本次拨付80%。其中12个社区用于日常公用经费开支  100.04万元，化解历年欠款14</w:t>
      </w:r>
      <w:r>
        <w:rPr>
          <w:rFonts w:hint="eastAsia" w:ascii="Calibri" w:hAnsi="Calibri" w:eastAsia="仿宋_GB2312" w:cs="Calibri"/>
          <w:sz w:val="32"/>
          <w:szCs w:val="32"/>
        </w:rPr>
        <w:t>8.16</w:t>
      </w:r>
      <w:r>
        <w:rPr>
          <w:rFonts w:hint="eastAsia" w:eastAsia="仿宋_GB2312"/>
          <w:sz w:val="32"/>
          <w:szCs w:val="32"/>
        </w:rPr>
        <w:t>万元。</w:t>
      </w:r>
    </w:p>
    <w:p w14:paraId="0605D24F"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阶段性目标</w:t>
      </w:r>
    </w:p>
    <w:p w14:paraId="6F0A36E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1.日常运转保障：通过1100.04万元日常公用经费，保障12个社区基础办公需求，完成办公用品采购、设施维护、水电费缴纳等工作，使社区能进行正常运转，运转率100%。</w:t>
      </w:r>
    </w:p>
    <w:p w14:paraId="0749D56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2.化解历年</w:t>
      </w:r>
      <w:r>
        <w:rPr>
          <w:rFonts w:hint="eastAsia" w:ascii="微软雅黑" w:hAnsi="微软雅黑" w:eastAsia="微软雅黑" w:cs="微软雅黑"/>
          <w:sz w:val="32"/>
          <w:szCs w:val="32"/>
        </w:rPr>
        <w:t>欠款</w:t>
      </w:r>
      <w:r>
        <w:rPr>
          <w:rFonts w:hint="eastAsia" w:eastAsia="仿宋_GB2312"/>
          <w:sz w:val="32"/>
          <w:szCs w:val="32"/>
        </w:rPr>
        <w:t>：通过支付14</w:t>
      </w:r>
      <w:r>
        <w:rPr>
          <w:rFonts w:hint="eastAsia" w:ascii="Calibri" w:hAnsi="Calibri" w:eastAsia="仿宋_GB2312" w:cs="Calibri"/>
          <w:sz w:val="32"/>
          <w:szCs w:val="32"/>
        </w:rPr>
        <w:t>8.16</w:t>
      </w:r>
      <w:r>
        <w:rPr>
          <w:rFonts w:hint="eastAsia" w:eastAsia="仿宋_GB2312"/>
          <w:sz w:val="32"/>
          <w:szCs w:val="32"/>
        </w:rPr>
        <w:t>万元用于社区化解历年</w:t>
      </w:r>
      <w:r>
        <w:rPr>
          <w:rFonts w:hint="eastAsia" w:ascii="微软雅黑" w:hAnsi="微软雅黑" w:eastAsia="微软雅黑" w:cs="微软雅黑"/>
          <w:sz w:val="32"/>
          <w:szCs w:val="32"/>
        </w:rPr>
        <w:t>欠款，</w:t>
      </w:r>
      <w:r>
        <w:rPr>
          <w:rFonts w:hint="eastAsia" w:eastAsia="仿宋_GB2312"/>
          <w:sz w:val="32"/>
          <w:szCs w:val="32"/>
        </w:rPr>
        <w:t>提升</w:t>
      </w:r>
      <w:r>
        <w:rPr>
          <w:rFonts w:hint="eastAsia" w:ascii="微软雅黑" w:hAnsi="微软雅黑" w:eastAsia="微软雅黑" w:cs="微软雅黑"/>
          <w:sz w:val="32"/>
          <w:szCs w:val="32"/>
        </w:rPr>
        <w:t>企业</w:t>
      </w:r>
      <w:r>
        <w:rPr>
          <w:rFonts w:hint="eastAsia" w:eastAsia="仿宋_GB2312"/>
          <w:sz w:val="32"/>
          <w:szCs w:val="32"/>
        </w:rPr>
        <w:t>满意度和政府公信力 。</w:t>
      </w:r>
    </w:p>
    <w:p w14:paraId="4BB14A5B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49A7870C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40B81D9F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1.绩效评价的目的</w:t>
      </w:r>
    </w:p>
    <w:p w14:paraId="6BA99D0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685E2EB7">
      <w:pPr>
        <w:numPr>
          <w:ilvl w:val="0"/>
          <w:numId w:val="2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498277B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（2）项目绩效管理财政支出运行提供及时、有效的信息。</w:t>
      </w:r>
    </w:p>
    <w:p w14:paraId="46A6202F">
      <w:pPr>
        <w:pStyle w:val="20"/>
        <w:spacing w:line="560" w:lineRule="exact"/>
        <w:ind w:firstLine="640" w:firstLineChars="200"/>
        <w:rPr>
          <w:rFonts w:eastAsia="方正仿宋_GBK" w:cs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570C6951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2.绩效评价的对象</w:t>
      </w:r>
    </w:p>
    <w:p w14:paraId="7BA6F558">
      <w:pPr>
        <w:spacing w:line="700" w:lineRule="exact"/>
        <w:ind w:left="420" w:left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（</w:t>
      </w:r>
      <w:r>
        <w:rPr>
          <w:color w:val="000000"/>
          <w:kern w:val="0"/>
          <w:sz w:val="31"/>
          <w:szCs w:val="31"/>
        </w:rPr>
        <w:t>1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）评价的对象：</w:t>
      </w:r>
      <w:r>
        <w:rPr>
          <w:rFonts w:hint="eastAsia" w:eastAsia="仿宋_GB2312"/>
          <w:sz w:val="32"/>
          <w:szCs w:val="32"/>
        </w:rPr>
        <w:t>社区经费（80%）项目。</w:t>
      </w:r>
    </w:p>
    <w:p w14:paraId="68CCFF4A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3.绩效评价的范围</w:t>
      </w:r>
    </w:p>
    <w:p w14:paraId="35FFDB8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社区经费（80%）项目进行评价进行评价，评价核心为专项资金的支出完成情况和效果。</w:t>
      </w:r>
    </w:p>
    <w:p w14:paraId="58ECFFEC">
      <w:pPr>
        <w:pStyle w:val="20"/>
        <w:numPr>
          <w:ilvl w:val="0"/>
          <w:numId w:val="3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时间范围：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4年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日至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4年</w:t>
      </w: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31 </w:t>
      </w:r>
    </w:p>
    <w:p w14:paraId="7677F9B3">
      <w:pPr>
        <w:pStyle w:val="20"/>
        <w:spacing w:line="560" w:lineRule="exact"/>
        <w:ind w:firstLine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日。</w:t>
      </w:r>
    </w:p>
    <w:p w14:paraId="216A779B">
      <w:pPr>
        <w:pStyle w:val="20"/>
        <w:spacing w:line="560" w:lineRule="exact"/>
        <w:ind w:firstLine="624" w:firstLineChars="195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（2）项目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范围：社区经费的完成情况、资金投入的运行情况、项目实施后产生的绩效及影响效果。</w:t>
      </w:r>
    </w:p>
    <w:p w14:paraId="276AB477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03B5169F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1.绩效评价原则</w:t>
      </w:r>
    </w:p>
    <w:p w14:paraId="4B0FB5ED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25887AD0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00F3BA0E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F3BA8EA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72D15FA3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342DF64F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2.评价指标体系</w:t>
      </w:r>
    </w:p>
    <w:p w14:paraId="0AC91A36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59DADE8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5D8D3AAB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6E5CB6B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4FF38C1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299F1FAB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42D3E7E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FB9E921">
      <w:pPr>
        <w:pStyle w:val="2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1B93D585">
      <w:pPr>
        <w:pStyle w:val="2"/>
        <w:widowControl w:val="0"/>
        <w:spacing w:before="0" w:after="0" w:line="560" w:lineRule="exact"/>
        <w:ind w:firstLine="708" w:firstLineChars="200"/>
        <w:jc w:val="both"/>
        <w:outlineLvl w:val="9"/>
        <w:rPr>
          <w:rFonts w:ascii="Times New Roman" w:hAnsi="Times New Roman" w:eastAsia="仿宋_GB2312"/>
          <w:b w:val="0"/>
          <w:bCs w:val="0"/>
          <w:color w:val="000000"/>
          <w:spacing w:val="17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具体评价指标体系详情见附件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</w:rPr>
        <w:t>2。</w:t>
      </w:r>
    </w:p>
    <w:p w14:paraId="7A1DC2C5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3.绩效评价方法</w:t>
      </w:r>
    </w:p>
    <w:p w14:paraId="5D32D9F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32C8F707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本次评价指标中，既有定性指标又有定量指标，各类指标因考核内容不同和客观标准不同存在较大差异，因此核定具体指标时采用了不同方法，具体评价方法如下： </w:t>
      </w:r>
    </w:p>
    <w:p w14:paraId="2849336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（1）比较法</w:t>
      </w:r>
    </w:p>
    <w:p w14:paraId="6AAA3ADD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5344BE2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（2）因素分析法</w:t>
      </w:r>
    </w:p>
    <w:p w14:paraId="2CAA8603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4D5ED762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4.评价标准</w:t>
      </w:r>
    </w:p>
    <w:p w14:paraId="611259B3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绩效评价标准通常包括计划标准、行业标准、历史标准等，用于对绩效指标完成情况进行比较、分析、评价。本次评价主要采用了计划标准、历史标准。</w:t>
      </w:r>
    </w:p>
    <w:p w14:paraId="2825ACEC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0" w:name="_Toc31464"/>
      <w:bookmarkStart w:id="1" w:name="_Toc17882"/>
      <w:r>
        <w:rPr>
          <w:rFonts w:hint="eastAsia" w:eastAsia="方正仿宋_GBK" w:cs="方正仿宋_GBK"/>
          <w:b/>
          <w:bCs/>
          <w:sz w:val="32"/>
          <w:szCs w:val="32"/>
        </w:rPr>
        <w:t>计划标准：</w:t>
      </w:r>
      <w:r>
        <w:rPr>
          <w:rFonts w:hint="eastAsia" w:eastAsia="方正仿宋_GBK" w:cs="方正仿宋_GBK"/>
          <w:sz w:val="32"/>
          <w:szCs w:val="32"/>
        </w:rPr>
        <w:t>指以预先制定的目标、计划、预算、定额等作为评价标准。</w:t>
      </w:r>
      <w:bookmarkEnd w:id="0"/>
      <w:bookmarkEnd w:id="1"/>
    </w:p>
    <w:p w14:paraId="090EC6E2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2" w:name="_Toc16028"/>
      <w:bookmarkStart w:id="3" w:name="_Toc430"/>
      <w:r>
        <w:rPr>
          <w:rFonts w:hint="eastAsia" w:eastAsia="方正仿宋_GBK" w:cs="方正仿宋_GBK"/>
          <w:b/>
          <w:bCs/>
          <w:sz w:val="32"/>
          <w:szCs w:val="32"/>
        </w:rPr>
        <w:t>历史标准：</w:t>
      </w:r>
      <w:r>
        <w:rPr>
          <w:rFonts w:hint="eastAsia" w:eastAsia="方正仿宋_GBK" w:cs="方正仿宋_GBK"/>
          <w:sz w:val="32"/>
          <w:szCs w:val="32"/>
        </w:rPr>
        <w:t>指参照历史数据制定的评价标准，为体现绩效改进的原则，在可实现的条件下应当确定相对较高的评价标准。</w:t>
      </w:r>
      <w:bookmarkEnd w:id="2"/>
      <w:bookmarkEnd w:id="3"/>
    </w:p>
    <w:p w14:paraId="49808462">
      <w:pPr>
        <w:pStyle w:val="2"/>
        <w:numPr>
          <w:ilvl w:val="0"/>
          <w:numId w:val="4"/>
        </w:numPr>
        <w:spacing w:before="0" w:after="0" w:line="560" w:lineRule="exact"/>
        <w:ind w:firstLine="711" w:firstLineChars="200"/>
        <w:jc w:val="both"/>
        <w:rPr>
          <w:rFonts w:hint="eastAsia"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195B67D9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eastAsia="仿宋_GB2312"/>
          <w:bCs/>
          <w:sz w:val="32"/>
          <w:szCs w:val="32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306966FB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eastAsia="仿宋_GB2312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599D868E">
      <w:pPr>
        <w:spacing w:line="560" w:lineRule="exact"/>
        <w:ind w:firstLine="643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eastAsia="仿宋_GB2312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08F32672">
      <w:pPr>
        <w:numPr>
          <w:ilvl w:val="0"/>
          <w:numId w:val="5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</w:t>
      </w:r>
    </w:p>
    <w:p w14:paraId="59ADE121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41FF61A2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6F7E90AE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7E46E386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98.5分，属于“优。其中，项目决策类指标权重为20分，得分为20分，得分率为 100%。项目过程类指标权重为20分，得分为19分，得分率为 95%。项目产出类指标权重为40分，得分为39.5分，得分率为98.8%。项目效益类指标权重为20分，得分为20分，得分率为100%。具体打分情况详见：表1.综合评分表。</w:t>
      </w:r>
    </w:p>
    <w:p w14:paraId="52EB9422">
      <w:pPr>
        <w:pStyle w:val="2"/>
        <w:spacing w:before="0" w:after="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表1</w:t>
      </w:r>
      <w:r>
        <w:rPr>
          <w:rFonts w:hint="eastAsia" w:ascii="Times New Roman" w:hAnsi="Times New Roman" w:eastAsia="仿宋_GB2312"/>
          <w:sz w:val="30"/>
          <w:szCs w:val="30"/>
        </w:rPr>
        <w:t>.</w:t>
      </w:r>
      <w:r>
        <w:rPr>
          <w:rFonts w:ascii="Times New Roman" w:hAnsi="Times New Roman" w:eastAsia="仿宋_GB2312"/>
          <w:sz w:val="30"/>
          <w:szCs w:val="30"/>
        </w:rPr>
        <w:t>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1F32E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4E5028C4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6135190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53A3073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1B576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6F01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5E8A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BC8DB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</w:tr>
      <w:tr w14:paraId="3C9B6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ACABD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2836A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7AF9D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</w:t>
            </w:r>
          </w:p>
        </w:tc>
      </w:tr>
      <w:tr w14:paraId="30ED3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ADB68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614B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4430A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39.5</w:t>
            </w:r>
          </w:p>
        </w:tc>
      </w:tr>
      <w:tr w14:paraId="64ACA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F05C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5D127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F43A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</w:tr>
      <w:tr w14:paraId="49B97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9B609">
            <w:pPr>
              <w:jc w:val="center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3D44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6DE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98.5</w:t>
            </w:r>
          </w:p>
        </w:tc>
      </w:tr>
    </w:tbl>
    <w:p w14:paraId="1352E567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0A8A38C8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672C5E90">
      <w:pPr>
        <w:spacing w:line="600" w:lineRule="exact"/>
        <w:ind w:firstLine="600" w:firstLineChars="200"/>
        <w:outlineLvl w:val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项目决策类指标包括项目立项、绩效目标和资金投入三方面的内容，由6个三级指标构成，权重分值为20分，实际得分20分，得分率为100%。</w:t>
      </w:r>
    </w:p>
    <w:p w14:paraId="3D7AC11F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30FD480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（1）立项依据充分性</w:t>
      </w:r>
    </w:p>
    <w:p w14:paraId="6733CBE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781FA8C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（2）立项程序规范性</w:t>
      </w:r>
    </w:p>
    <w:p w14:paraId="21BF812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45CE0EF2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2B3FD75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（1）绩效目标合理性</w:t>
      </w:r>
    </w:p>
    <w:p w14:paraId="0FBBE7D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2459742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（2）绩效指标明确性</w:t>
      </w:r>
    </w:p>
    <w:p w14:paraId="4EDC945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2A297BC4">
      <w:r>
        <w:br w:type="page"/>
      </w:r>
    </w:p>
    <w:p w14:paraId="2D0E587F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2E8E1AF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（1）预算编制科学性</w:t>
      </w:r>
    </w:p>
    <w:p w14:paraId="71B0DF3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266B4CF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（2）资金分配合理性</w:t>
      </w:r>
    </w:p>
    <w:p w14:paraId="55F7362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资金分配额度与项目单位实际工作内容相适应，资金分配额度合理，资金分配依据充分。</w:t>
      </w:r>
    </w:p>
    <w:p w14:paraId="78D71B82">
      <w:pPr>
        <w:pStyle w:val="2"/>
        <w:numPr>
          <w:ilvl w:val="0"/>
          <w:numId w:val="6"/>
        </w:numPr>
        <w:spacing w:before="0" w:after="0" w:line="560" w:lineRule="exact"/>
        <w:ind w:firstLine="643" w:firstLineChars="200"/>
        <w:jc w:val="both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74B435E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项目过程类指标包括资金管理和组织实施两方面的内容，由5个三级指标构成，权重分值为20分，实际得分19分，得分率为95%。</w:t>
      </w:r>
    </w:p>
    <w:p w14:paraId="57851A8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9366283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1CCFC1E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（1）资金到位率</w:t>
      </w:r>
    </w:p>
    <w:p w14:paraId="6F1DFCB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本项目总投资232.08万元，财政资金未及时足额到位，到位率46%，预算资金按计划进度执行。</w:t>
      </w:r>
    </w:p>
    <w:p w14:paraId="4E40A15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（2）预算执行率</w:t>
      </w:r>
    </w:p>
    <w:p w14:paraId="0B22A7C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预算编制较为详细，项目资金支出总体能够按照预算执行，预算资金支出232.08万元，预算执行率为46%。</w:t>
      </w:r>
    </w:p>
    <w:p w14:paraId="0FB0714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（3）资金使用合规性</w:t>
      </w:r>
    </w:p>
    <w:p w14:paraId="4B3DA24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30211C2E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079AECE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（1）管理制度健全性</w:t>
      </w:r>
    </w:p>
    <w:p w14:paraId="2D58571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187DA7C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（2）制度执行有效性</w:t>
      </w:r>
    </w:p>
    <w:p w14:paraId="61E4621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0F4DF35D">
      <w:pPr>
        <w:pStyle w:val="10"/>
        <w:numPr>
          <w:ilvl w:val="0"/>
          <w:numId w:val="6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70E52BE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项目产出类指标包括产出数量、产出质量、产出时效、产出成本四方面的内容，由5个三级指标构成，权重分为40分，实际得分39.5分，得分率为98.8%。具体产出指标完成情况如下：</w:t>
      </w:r>
    </w:p>
    <w:p w14:paraId="7B7DC79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43DAAF5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指标1：公共文化服务活动举办次数，指标值：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场次 ，实际完成值：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48场次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</w:t>
      </w:r>
    </w:p>
    <w:p w14:paraId="57FB54F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指标2：开展环境卫生整治次数，指标值：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场次 ，实际完成值：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52场次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108%</w:t>
      </w:r>
      <w:r>
        <w:rPr>
          <w:rFonts w:hint="eastAsia" w:ascii="仿宋_GB2312" w:hAnsi="仿宋_GB2312" w:eastAsia="仿宋_GB2312" w:cs="仿宋_GB2312"/>
          <w:sz w:val="32"/>
          <w:szCs w:val="32"/>
        </w:rPr>
        <w:t>。偏差原因：在实际开展中社区对此项工作较重视，开展频次也相对提高，使此项工作超出了预期，保障了环境卫生整治次数有效完成。改进措施：在制定项目目标时，提前作好预估和调研，正确制定指标，减小偏差。</w:t>
      </w:r>
    </w:p>
    <w:p w14:paraId="7A1A9B4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指标3：开展政策宣传活动场次，指标值：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场次 ，实际完成值：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48场次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</w:t>
      </w:r>
    </w:p>
    <w:p w14:paraId="4F36B3D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6FDAF6F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指标1：开展政策宣传、文化活动居民参与率</w:t>
      </w:r>
      <w:r>
        <w:rPr>
          <w:rFonts w:hint="eastAsia" w:ascii="方正仿宋_GBK" w:hAnsi="方正仿宋_GBK" w:eastAsia="方正仿宋_GBK" w:cs="方正仿宋_GBK"/>
          <w:color w:val="2B2B2B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指标值：90% ，实际完成值：100%，指标完成率111 %。偏差原因：本年内各社区加大对居民政策和文化活动的宣传，加上活动的可行性，提高了居民的积极参与，极大提高了工作效率，保障了居民的及时参与并超额完成。改进措施：随着社区工作的规范化，细致化，在设置此类目标时要及时和各社区提前预估此项活动居民的需求度，从而准确制定指标值。</w:t>
      </w:r>
    </w:p>
    <w:p w14:paraId="43625E91">
      <w:pPr>
        <w:spacing w:line="600" w:lineRule="exact"/>
        <w:ind w:firstLine="640" w:firstLineChars="200"/>
        <w:outlineLvl w:val="0"/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指标2：开展环境卫生质量优良率（%），指标值：95% ，实际完成值：100%，指标完成率105.26 %。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偏差原因：本年内各社区对辖区单位严格落实门前三包工作要求，环境卫生在日常检查中落实各项措施，提高了辖区单位参与积极性，从而辖区环境卫生优良率达到了有效提升，辖区环境情况得到了极大改善。改进措施：环境卫生整治常态化开展，辖区单位、居民对此项指标都较重视，今后在设定此类指标时，将结合目前街道、社区实际工作情况精准设置。</w:t>
      </w:r>
    </w:p>
    <w:p w14:paraId="3BF83347">
      <w:pPr>
        <w:pStyle w:val="10"/>
        <w:numPr>
          <w:ilvl w:val="0"/>
          <w:numId w:val="6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3DA8B17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项目效益类指标包括项目实施效益和满意度两方面的内容，由2个三级指标构成，权重分为20分，实际得分100分，得分率为100%。具体效益指标及满意度指标完成情况如下：</w:t>
      </w:r>
    </w:p>
    <w:p w14:paraId="68824231">
      <w:pPr>
        <w:spacing w:line="600" w:lineRule="exact"/>
        <w:ind w:firstLine="643" w:firstLineChars="200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3A0A3FE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①社会效益指标：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  <w:t>提升辖区居民文化精神生活，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指标值：有效提升 ，实际完成值：有效提升达到预期值，指标完成率100 %。</w:t>
      </w:r>
    </w:p>
    <w:p w14:paraId="4E33AB81">
      <w:pPr>
        <w:spacing w:line="600" w:lineRule="exact"/>
        <w:ind w:firstLine="643" w:firstLineChars="200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2.满意度</w:t>
      </w:r>
    </w:p>
    <w:p w14:paraId="552F460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满意度指标：居民满意度，指标值：100% ，实际完成值：100%，指标完成率100 %。</w:t>
      </w:r>
    </w:p>
    <w:p w14:paraId="26E547F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3235B62">
      <w:pPr>
        <w:spacing w:line="560" w:lineRule="exact"/>
        <w:ind w:firstLine="640" w:firstLineChars="200"/>
        <w:rPr>
          <w:rStyle w:val="19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463902BF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66E846C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48875470">
      <w:pPr>
        <w:pStyle w:val="2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ascii="Times New Roman" w:hAnsi="Times New Roman" w:eastAsia="仿宋_GB2312"/>
          <w:b w:val="0"/>
          <w:bCs w:val="0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DD72315">
      <w:pPr>
        <w:keepNext/>
        <w:keepLines/>
        <w:numPr>
          <w:ilvl w:val="0"/>
          <w:numId w:val="7"/>
        </w:num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5B49BE77">
      <w:pPr>
        <w:pStyle w:val="26"/>
        <w:keepNext/>
        <w:keepLines/>
        <w:numPr>
          <w:ilvl w:val="0"/>
          <w:numId w:val="8"/>
        </w:numPr>
        <w:spacing w:line="600" w:lineRule="exact"/>
        <w:ind w:firstLineChars="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相关绩效管理方面专业知识的系统性学习有待加强</w:t>
      </w:r>
    </w:p>
    <w:p w14:paraId="761629DC">
      <w:pPr>
        <w:keepNext/>
        <w:keepLines/>
        <w:spacing w:line="600" w:lineRule="exact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4BDB1B0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2.因轮岗、调动、等因素使我单位绩效工作人员流动频繁，造成了工作衔接不到位的情况。</w:t>
      </w:r>
    </w:p>
    <w:p w14:paraId="24F68CCB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</w:t>
      </w:r>
      <w:r>
        <w:rPr>
          <w:rFonts w:eastAsia="黑体"/>
          <w:sz w:val="32"/>
          <w:szCs w:val="32"/>
        </w:rPr>
        <w:t>有关建议</w:t>
      </w:r>
    </w:p>
    <w:p w14:paraId="0A947ED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08326CF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1B9EF18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1083A07B">
      <w:pPr>
        <w:spacing w:line="600" w:lineRule="exact"/>
        <w:ind w:firstLine="640" w:firstLineChars="200"/>
        <w:outlineLvl w:val="0"/>
        <w:rPr>
          <w:sz w:val="2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sz w:val="36"/>
          <w:szCs w:val="32"/>
        </w:rPr>
        <w:t>。</w:t>
      </w:r>
    </w:p>
    <w:p w14:paraId="5C7082E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00C754B1">
      <w:pPr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</w:t>
      </w:r>
      <w:r>
        <w:rPr>
          <w:rFonts w:eastAsia="黑体"/>
          <w:sz w:val="32"/>
          <w:szCs w:val="32"/>
        </w:rPr>
        <w:t>其他需要说</w:t>
      </w:r>
      <w:bookmarkStart w:id="4" w:name="page8"/>
      <w:bookmarkEnd w:id="4"/>
      <w:r>
        <w:rPr>
          <w:rFonts w:eastAsia="黑体"/>
          <w:sz w:val="32"/>
          <w:szCs w:val="32"/>
        </w:rPr>
        <w:t>明的问题</w:t>
      </w:r>
    </w:p>
    <w:p w14:paraId="6E9820A7">
      <w:pPr>
        <w:pStyle w:val="11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本项目无其他需说明的问题。</w:t>
      </w:r>
    </w:p>
    <w:p w14:paraId="048B5864">
      <w:r>
        <w:rPr>
          <w:rFonts w:hint="eastAsia"/>
        </w:rPr>
        <w:t xml:space="preserve">                                                                                                                   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F713C22-02E5-4ADC-93E8-C1221E19330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9A1F813-B7A1-4BA8-AD36-5B4E47937A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55540BB2-1367-4948-BD85-EAE64E41408E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5F3D862-2A1E-4875-90C5-FF576DB41FC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D818EAE-7983-49B2-9F10-89AD1BA9857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34DA3541-97F2-4E0D-9FBE-AD4A837EE08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11E7AFEF-59C9-4598-9EBD-CC1EF733EEC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8" w:fontKey="{C4CBE588-3BE1-467C-8711-FBEA0B5F5DCD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9" w:fontKey="{539BF298-2FF6-4704-A224-AA5FDCDC4EE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0" w:fontKey="{E3EDB313-B8A6-4C7C-9304-E2C0139F3825}"/>
  </w:font>
  <w:font w:name="WPSEMBED1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3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046E1449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22</w:t>
        </w:r>
        <w:r>
          <w:fldChar w:fldCharType="end"/>
        </w:r>
      </w:p>
    </w:sdtContent>
  </w:sdt>
  <w:p w14:paraId="0FF894D4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25B654F3"/>
    <w:multiLevelType w:val="singleLevel"/>
    <w:tmpl w:val="25B654F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9ADCABA"/>
    <w:multiLevelType w:val="singleLevel"/>
    <w:tmpl w:val="59ADCABA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zYTY1ODhmZjRiY2MxNDhlNzhkN2RkNzk0ZmMyNjIifQ=="/>
  </w:docVars>
  <w:rsids>
    <w:rsidRoot w:val="00000000"/>
    <w:rsid w:val="2E070A2F"/>
    <w:rsid w:val="5569579C"/>
  </w:rsids>
  <m:mathPr>
    <m:mathFont m:val="Cambria Math"/>
    <m:brkBin m:val="before"/>
    <m:brkBinSub m:val="--"/>
    <m:smallFrac m:val="1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Body Text"/>
    <w:basedOn w:val="1"/>
    <w:autoRedefine/>
    <w:qFormat/>
    <w:uiPriority w:val="0"/>
    <w:pPr>
      <w:spacing w:after="120"/>
    </w:pPr>
  </w:style>
  <w:style w:type="paragraph" w:styleId="6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Balloon Text"/>
    <w:basedOn w:val="1"/>
    <w:link w:val="21"/>
    <w:qFormat/>
    <w:uiPriority w:val="0"/>
    <w:rPr>
      <w:sz w:val="18"/>
      <w:szCs w:val="18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9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"/>
    <w:basedOn w:val="5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6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autoRedefine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25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eyJoZGlkIjoiNzI1MzljODBiNDliMzEyMzFlZWNlN2EzYjU0N2YzMWEiLCJ1c2VySWQiOiI2NzI2Mjg4ODYifQ==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9b75-3c8a-4387-9e89-fc42628f5016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6801</Words>
  <Characters>7084</Characters>
  <Lines>494</Lines>
  <Paragraphs>381</Paragraphs>
  <TotalTime>0</TotalTime>
  <ScaleCrop>false</ScaleCrop>
  <LinksUpToDate>false</LinksUpToDate>
  <CharactersWithSpaces>7219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2025-04-14T04:14:00Z</dcterms:created>
  <dc:creator>审核人</dc:creator>
  <cp:lastModifiedBy>忆</cp:lastModifiedBy>
  <dcterms:modified xsi:type="dcterms:W3CDTF">2025-11-06T03:52:55Z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eyJoZGlkIjoiZWE5M2E4OTRkNmEwYTUyNjM2Mzg3NThiMTA5NmIzZWUiLCJ1c2VySWQiOiI0OTMxMTE3MjUifQ==</vt:lpwstr>
  </property>
</Properties>
</file>